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80" w:line="240" w:lineRule="auto"/>
        <w:jc w:val="left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80" w:line="240" w:lineRule="auto"/>
        <w:jc w:val="center"/>
        <w:rPr>
          <w:rFonts w:ascii="Source Sans 3" w:cs="Source Sans 3" w:eastAsia="Source Sans 3" w:hAnsi="Source Sans 3"/>
          <w:b w:val="1"/>
          <w:bCs w:val="1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32"/>
          <w:szCs w:val="32"/>
          <w:rtl w:val="0"/>
        </w:rPr>
        <w:t xml:space="preserve">SABARÁ PLURAL</w:t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br w:type="textWrapping"/>
        <w:t xml:space="preserve">ANEXO III – CRITÉRIOS UTILIZADOS NA AVALIAÇÃO DE MÉRITO CULTURAL</w:t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highlight w:val="white"/>
          <w:rtl w:val="0"/>
        </w:rPr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20" w:before="12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before="12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 avaliação dos projetos será realizada mediante atribuição de notas aos critérios de seleção, conforme descrição a seguir: </w:t>
      </w:r>
    </w:p>
    <w:p w:rsidR="00000000" w:rsidDel="00000000" w:rsidP="00000000" w:rsidRDefault="00000000" w:rsidRPr="00000000" w14:paraId="0000000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• Grau pleno de atendimento do critério - 10 pontos; </w:t>
      </w:r>
    </w:p>
    <w:p w:rsidR="00000000" w:rsidDel="00000000" w:rsidP="00000000" w:rsidRDefault="00000000" w:rsidRPr="00000000" w14:paraId="0000000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• Grau satisfatório de atendimento do critério – 6 pontos; </w:t>
      </w:r>
    </w:p>
    <w:p w:rsidR="00000000" w:rsidDel="00000000" w:rsidP="00000000" w:rsidRDefault="00000000" w:rsidRPr="00000000" w14:paraId="0000000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• Grau insatisfatório de atendimento do critério – 2 pontos; </w:t>
      </w:r>
    </w:p>
    <w:p w:rsidR="00000000" w:rsidDel="00000000" w:rsidP="00000000" w:rsidRDefault="00000000" w:rsidRPr="00000000" w14:paraId="0000000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• Não atendimento do critério – 0 pontos.</w:t>
      </w:r>
    </w:p>
    <w:p w:rsidR="00000000" w:rsidDel="00000000" w:rsidP="00000000" w:rsidRDefault="00000000" w:rsidRPr="00000000" w14:paraId="00000009">
      <w:pPr>
        <w:spacing w:after="120" w:before="120" w:line="240" w:lineRule="auto"/>
        <w:ind w:left="120" w:right="120" w:firstLine="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tbl>
      <w:tblPr>
        <w:tblStyle w:val="Table1"/>
        <w:tblW w:w="8490.0" w:type="dxa"/>
        <w:jc w:val="left"/>
        <w:tblInd w:w="-108.0" w:type="dxa"/>
        <w:tblLayout w:type="fixed"/>
        <w:tblLook w:val="0400"/>
      </w:tblPr>
      <w:tblGrid>
        <w:gridCol w:w="1815"/>
        <w:gridCol w:w="3720"/>
        <w:gridCol w:w="2955"/>
        <w:tblGridChange w:id="0">
          <w:tblGrid>
            <w:gridCol w:w="1815"/>
            <w:gridCol w:w="3720"/>
            <w:gridCol w:w="2955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e599" w:val="clear"/>
            <w:vAlign w:val="center"/>
          </w:tcPr>
          <w:p w:rsidR="00000000" w:rsidDel="00000000" w:rsidP="00000000" w:rsidRDefault="00000000" w:rsidRPr="00000000" w14:paraId="0000000A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CRITÉRIOS OBRIGATÓRIOS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000D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SemiBold" w:cs="Source Sans 3 SemiBold" w:eastAsia="Source Sans 3 SemiBold" w:hAnsi="Source Sans 3 SemiBold"/>
                <w:sz w:val="24"/>
                <w:szCs w:val="24"/>
              </w:rPr>
            </w:pPr>
            <w:r w:rsidDel="00000000" w:rsidR="00000000" w:rsidRPr="00000000">
              <w:rPr>
                <w:rFonts w:ascii="Source Sans 3 SemiBold" w:cs="Source Sans 3 SemiBold" w:eastAsia="Source Sans 3 SemiBold" w:hAnsi="Source Sans 3 SemiBold"/>
                <w:sz w:val="24"/>
                <w:szCs w:val="24"/>
                <w:rtl w:val="0"/>
              </w:rPr>
              <w:t xml:space="preserve">Identificação do Critério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000E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SemiBold" w:cs="Source Sans 3 SemiBold" w:eastAsia="Source Sans 3 SemiBold" w:hAnsi="Source Sans 3 SemiBold"/>
                <w:sz w:val="24"/>
                <w:szCs w:val="24"/>
              </w:rPr>
            </w:pPr>
            <w:r w:rsidDel="00000000" w:rsidR="00000000" w:rsidRPr="00000000">
              <w:rPr>
                <w:rFonts w:ascii="Source Sans 3 SemiBold" w:cs="Source Sans 3 SemiBold" w:eastAsia="Source Sans 3 SemiBold" w:hAnsi="Source Sans 3 SemiBold"/>
                <w:sz w:val="24"/>
                <w:szCs w:val="24"/>
                <w:rtl w:val="0"/>
              </w:rPr>
              <w:t xml:space="preserve">Descrição do Critério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000F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SemiBold" w:cs="Source Sans 3 SemiBold" w:eastAsia="Source Sans 3 SemiBold" w:hAnsi="Source Sans 3 SemiBold"/>
                <w:sz w:val="24"/>
                <w:szCs w:val="24"/>
              </w:rPr>
            </w:pPr>
            <w:r w:rsidDel="00000000" w:rsidR="00000000" w:rsidRPr="00000000">
              <w:rPr>
                <w:rFonts w:ascii="Source Sans 3 SemiBold" w:cs="Source Sans 3 SemiBold" w:eastAsia="Source Sans 3 SemiBold" w:hAnsi="Source Sans 3 SemiBold"/>
                <w:sz w:val="24"/>
                <w:szCs w:val="24"/>
                <w:rtl w:val="0"/>
              </w:rPr>
              <w:t xml:space="preserve">Pontuação Máxima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pStyle w:val="Heading3"/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  <w:highlight w:val="white"/>
                <w:rtl w:val="0"/>
              </w:rPr>
              <w:t xml:space="preserve">Coerência e Potência Artística, Cultural e Social da Proposta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after="120" w:before="12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highlight w:val="white"/>
                <w:rtl w:val="0"/>
              </w:rPr>
              <w:br w:type="textWrapping"/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highlight w:val="white"/>
                <w:rtl w:val="0"/>
              </w:rPr>
              <w:t xml:space="preserve">Avalia se o projeto apresenta clareza, coerência e força narrativa entre objeto, objetivos, justificativa, metodologia e metas. Considera-se especialmente se a proposta demonstra intencionalidade cultural clara, impacto positivo esperado e um entendimento sensível sobre o território ou comunidade envolvida.</w:t>
            </w:r>
          </w:p>
          <w:p w:rsidR="00000000" w:rsidDel="00000000" w:rsidP="00000000" w:rsidRDefault="00000000" w:rsidRPr="00000000" w14:paraId="00000013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pStyle w:val="Heading3"/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0"/>
                <w:bCs w:val="0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  <w:rtl w:val="0"/>
              </w:rPr>
              <w:t xml:space="preserve">Contribuição para a Diversidade Cultural de Sabará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120" w:before="12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br w:type="textWrapping"/>
              <w:t xml:space="preserve">Analisa em que medida a ação proposta enriquece, amplia e fortalece o ecossistema cultural local, valorizando expressões diversas: contemporâneas, tradicionais, comunitárias ou experimentais — em consonância com a multiplicidade de identidades que compõem Sabará.</w:t>
            </w:r>
          </w:p>
          <w:p w:rsidR="00000000" w:rsidDel="00000000" w:rsidP="00000000" w:rsidRDefault="00000000" w:rsidRPr="00000000" w14:paraId="00000018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pStyle w:val="Heading3"/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  <w:rtl w:val="0"/>
              </w:rPr>
              <w:t xml:space="preserve">Impacto Comunitário, Inclusão e Acessibilidade Cultural</w:t>
            </w:r>
          </w:p>
          <w:p w:rsidR="00000000" w:rsidDel="00000000" w:rsidP="00000000" w:rsidRDefault="00000000" w:rsidRPr="00000000" w14:paraId="0000001D">
            <w:pPr>
              <w:spacing w:after="120" w:before="12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Considera o potencial de impacto social da proposta: integração comunitária, diálogo entre grupos, acessibilidade, inclusão de pessoas com deficiência, idosos, juventudes, mulheres, populações em situação de vulnerabilidade e coletivos historicamente invisibilizados.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pStyle w:val="Heading3"/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  <w:rtl w:val="0"/>
              </w:rPr>
              <w:t xml:space="preserve">Viabilidade Técnica, Orçamentária e Ética da Execução</w:t>
            </w:r>
          </w:p>
          <w:p w:rsidR="00000000" w:rsidDel="00000000" w:rsidP="00000000" w:rsidRDefault="00000000" w:rsidRPr="00000000" w14:paraId="00000023">
            <w:pPr>
              <w:spacing w:after="120" w:before="12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Avalia a coerência entre o orçamento, o cronograma, a metodologia e as metas. Considera se os recursos solicitados são adequados e proporcionais à ação, se a execução é factível e se a proposta demonstra responsabilidade técnica, ética e financeira.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pStyle w:val="Heading3"/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  <w:rtl w:val="0"/>
              </w:rPr>
              <w:t xml:space="preserve">Inovação, Experimentação e Contribuição para Novos Diálogos Culturais</w:t>
            </w:r>
          </w:p>
          <w:p w:rsidR="00000000" w:rsidDel="00000000" w:rsidP="00000000" w:rsidRDefault="00000000" w:rsidRPr="00000000" w14:paraId="00000028">
            <w:pPr>
              <w:spacing w:after="120" w:before="12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br w:type="textWrapping"/>
              <w:t xml:space="preserve">Avalia a capacidade do projeto de propor abordagens inovadoras, cruzamentos de linguagens, experimentações artísticas, novas narrativas ou metodologias que enriqueçam o ecossistema cultural da cidade.</w:t>
            </w:r>
          </w:p>
          <w:p w:rsidR="00000000" w:rsidDel="00000000" w:rsidP="00000000" w:rsidRDefault="00000000" w:rsidRPr="00000000" w14:paraId="00000029">
            <w:pPr>
              <w:spacing w:after="120" w:before="120" w:line="240" w:lineRule="auto"/>
              <w:ind w:right="120"/>
              <w:jc w:val="center"/>
              <w:rPr>
                <w:rFonts w:ascii="Source Sans 3 Light" w:cs="Source Sans 3 Light" w:eastAsia="Source Sans 3 Light" w:hAnsi="Source Sans 3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pStyle w:val="Heading3"/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  <w:rtl w:val="0"/>
              </w:rPr>
              <w:t xml:space="preserve">Coerência e Diversidade da Equipe e da Ficha Técnica</w:t>
            </w:r>
          </w:p>
          <w:p w:rsidR="00000000" w:rsidDel="00000000" w:rsidP="00000000" w:rsidRDefault="00000000" w:rsidRPr="00000000" w14:paraId="0000002D">
            <w:pPr>
              <w:spacing w:after="120" w:before="12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br w:type="textWrapping"/>
              <w:t xml:space="preserve">Analisa a adequação entre as funções atribuídas à equipe e suas trajetórias, considerando tanto formações acadêmicas/ profissionais quanto saberes tradicionais, práticas comunitárias, vivências empíricas e outras formas legítimas de conhecimento cultural.</w:t>
            </w:r>
          </w:p>
          <w:p w:rsidR="00000000" w:rsidDel="00000000" w:rsidP="00000000" w:rsidRDefault="00000000" w:rsidRPr="00000000" w14:paraId="0000002E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pStyle w:val="Heading3"/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0"/>
                <w:bCs w:val="0"/>
                <w:sz w:val="24"/>
                <w:szCs w:val="24"/>
                <w:highlight w:val="white"/>
                <w:rtl w:val="0"/>
              </w:rPr>
              <w:t xml:space="preserve">Trajetória Cultural, Comunitária ou Artística do Proponente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120" w:before="12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highlight w:val="white"/>
                <w:rtl w:val="0"/>
              </w:rPr>
              <w:br w:type="textWrapping"/>
            </w: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highlight w:val="white"/>
                <w:rtl w:val="0"/>
              </w:rPr>
              <w:t xml:space="preserve">Avalia o percurso do proponente, coletivo ou comunidade, valorizando comprovações formais e informais: fotos, registros comunitários, cartas de referência, declarações de mestres, lideranças tradicionais, arquivos pessoais e outros meios pertinentes ao universo cultural de Sabará.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PONTUAÇÃO TOTAL: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70 PONTOS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Além da pontuação acima, o proponente pode receber bônus de pontuação, ou seja, uma pontuação extra, conforme critérios abaixo especificados: </w:t>
      </w:r>
    </w:p>
    <w:p w:rsidR="00000000" w:rsidDel="00000000" w:rsidP="00000000" w:rsidRDefault="00000000" w:rsidRPr="00000000" w14:paraId="0000003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6.0" w:type="dxa"/>
        <w:jc w:val="left"/>
        <w:tblInd w:w="-100.0" w:type="dxa"/>
        <w:tblLayout w:type="fixed"/>
        <w:tblLook w:val="0400"/>
      </w:tblPr>
      <w:tblGrid>
        <w:gridCol w:w="1715"/>
        <w:gridCol w:w="3444"/>
        <w:gridCol w:w="3867"/>
        <w:tblGridChange w:id="0">
          <w:tblGrid>
            <w:gridCol w:w="1715"/>
            <w:gridCol w:w="3444"/>
            <w:gridCol w:w="3867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599" w:val="clear"/>
          </w:tcPr>
          <w:p w:rsidR="00000000" w:rsidDel="00000000" w:rsidP="00000000" w:rsidRDefault="00000000" w:rsidRPr="00000000" w14:paraId="0000003C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PONTUAÇÃO BÔNUS PARA PROPONENTES PESSOAS FÍSICAS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2cc" w:val="clear"/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Identificação do Ponto Extra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2cc" w:val="clear"/>
          </w:tcPr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Descrição do Ponto Extra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2cc" w:val="clear"/>
          </w:tcPr>
          <w:p w:rsidR="00000000" w:rsidDel="00000000" w:rsidP="00000000" w:rsidRDefault="00000000" w:rsidRPr="00000000" w14:paraId="00000041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Pontuação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2">
            <w:pPr>
              <w:shd w:fill="ffffff" w:val="clear"/>
              <w:spacing w:after="240" w:before="24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3">
            <w:pPr>
              <w:spacing w:after="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Agentes culturais que nunca receberam recursos de editais da Política Nacional Aldir Blanc no município de Sabará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after="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6">
            <w:pPr>
              <w:shd w:fill="ffffff" w:val="clear"/>
              <w:spacing w:after="240" w:before="240" w:line="240" w:lineRule="auto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PONTUAÇÃO EXTRA 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8">
            <w:pPr>
              <w:shd w:fill="ffffff" w:val="clear"/>
              <w:spacing w:after="240" w:before="240" w:line="240" w:lineRule="auto"/>
              <w:jc w:val="center"/>
              <w:rPr>
                <w:rFonts w:ascii="Source Sans 3" w:cs="Source Sans 3" w:eastAsia="Source Sans 3" w:hAnsi="Source Sans 3"/>
                <w:b w:val="1"/>
                <w:bCs w:val="1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2 PONTOS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spacing w:after="0"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26.0" w:type="dxa"/>
        <w:jc w:val="left"/>
        <w:tblInd w:w="-100.0" w:type="dxa"/>
        <w:tblLayout w:type="fixed"/>
        <w:tblLook w:val="0400"/>
      </w:tblPr>
      <w:tblGrid>
        <w:gridCol w:w="1584"/>
        <w:gridCol w:w="3958"/>
        <w:gridCol w:w="3484"/>
        <w:tblGridChange w:id="0">
          <w:tblGrid>
            <w:gridCol w:w="1584"/>
            <w:gridCol w:w="3958"/>
            <w:gridCol w:w="3484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599" w:val="clear"/>
          </w:tcPr>
          <w:p w:rsidR="00000000" w:rsidDel="00000000" w:rsidP="00000000" w:rsidRDefault="00000000" w:rsidRPr="00000000" w14:paraId="0000004C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PONTUAÇÃO EXTRA PARA PROPONENTES PESSOAS JURÍDICAS E COLETIVOS OU GRUPOS CULTURAIS SEM CNPJ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2cc" w:val="clear"/>
          </w:tcPr>
          <w:p w:rsidR="00000000" w:rsidDel="00000000" w:rsidP="00000000" w:rsidRDefault="00000000" w:rsidRPr="00000000" w14:paraId="0000004F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Identificação do Ponto Extra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2cc" w:val="clear"/>
          </w:tcPr>
          <w:p w:rsidR="00000000" w:rsidDel="00000000" w:rsidP="00000000" w:rsidRDefault="00000000" w:rsidRPr="00000000" w14:paraId="00000050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Descrição do Ponto Extra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2cc" w:val="clear"/>
          </w:tcPr>
          <w:p w:rsidR="00000000" w:rsidDel="00000000" w:rsidP="00000000" w:rsidRDefault="00000000" w:rsidRPr="00000000" w14:paraId="00000051">
            <w:pPr>
              <w:spacing w:after="0" w:line="240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Pontuação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2">
            <w:pPr>
              <w:shd w:fill="ffffff" w:val="clear"/>
              <w:spacing w:after="240" w:before="24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3">
            <w:pPr>
              <w:spacing w:after="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Pessoas Jurídicas que nunca receberam recursos de editais da Política Nacional Aldir Blanc no município de Sabará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after="0" w:line="240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6">
            <w:pPr>
              <w:shd w:fill="ffffff" w:val="clear"/>
              <w:spacing w:after="240" w:before="240" w:line="240" w:lineRule="auto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PONTUAÇÃO EXTRA 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8">
            <w:pPr>
              <w:shd w:fill="ffffff" w:val="clear"/>
              <w:spacing w:after="240" w:before="240" w:line="240" w:lineRule="auto"/>
              <w:jc w:val="center"/>
              <w:rPr>
                <w:rFonts w:ascii="Source Sans 3" w:cs="Source Sans 3" w:eastAsia="Source Sans 3" w:hAnsi="Source Sans 3"/>
                <w:b w:val="1"/>
                <w:bCs w:val="1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2 PONTOS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pStyle w:val="Heading2"/>
        <w:keepNext w:val="0"/>
        <w:keepLines w:val="0"/>
        <w:spacing w:line="240" w:lineRule="auto"/>
        <w:ind w:right="120"/>
        <w:jc w:val="both"/>
        <w:rPr>
          <w:rFonts w:ascii="Source Sans 3" w:cs="Source Sans 3" w:eastAsia="Source Sans 3" w:hAnsi="Source Sans 3"/>
          <w:sz w:val="24"/>
          <w:szCs w:val="24"/>
        </w:rPr>
      </w:pPr>
      <w:bookmarkStart w:colFirst="0" w:colLast="0" w:name="_heading=h.ssj4cd5wv58k" w:id="0"/>
      <w:bookmarkEnd w:id="0"/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Avaliação, Pontuação e Classificação das Propostas</w:t>
      </w:r>
    </w:p>
    <w:p w:rsidR="00000000" w:rsidDel="00000000" w:rsidP="00000000" w:rsidRDefault="00000000" w:rsidRPr="00000000" w14:paraId="0000005A">
      <w:pPr>
        <w:spacing w:after="24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 pontuação final de cada candidatura será definida pela média aritmética das notas atribuídas individualmente por cada parecerista.</w:t>
      </w:r>
    </w:p>
    <w:p w:rsidR="00000000" w:rsidDel="00000000" w:rsidP="00000000" w:rsidRDefault="00000000" w:rsidRPr="00000000" w14:paraId="0000005B">
      <w:pPr>
        <w:spacing w:after="24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 avaliação será realizada por pareceristas externos à Secretaria Municipal de Cultura, contratados por meio de edital específico para composição de banco de pareceristas, assegurando transparência, independência e critérios técnicos no processo seletivo</w:t>
      </w:r>
    </w:p>
    <w:p w:rsidR="00000000" w:rsidDel="00000000" w:rsidP="00000000" w:rsidRDefault="00000000" w:rsidRPr="00000000" w14:paraId="0000005C">
      <w:pPr>
        <w:pStyle w:val="Heading2"/>
        <w:keepNext w:val="0"/>
        <w:keepLines w:val="0"/>
        <w:spacing w:line="240" w:lineRule="auto"/>
        <w:ind w:right="120"/>
        <w:jc w:val="both"/>
        <w:rPr>
          <w:rFonts w:ascii="Source Sans 3" w:cs="Source Sans 3" w:eastAsia="Source Sans 3" w:hAnsi="Source Sans 3"/>
          <w:sz w:val="24"/>
          <w:szCs w:val="24"/>
        </w:rPr>
      </w:pPr>
      <w:bookmarkStart w:colFirst="0" w:colLast="0" w:name="_heading=h.8034rj9wagx8" w:id="1"/>
      <w:bookmarkEnd w:id="1"/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Critérios Eliminatórios e Pontuação Bônus</w:t>
      </w:r>
    </w:p>
    <w:p w:rsidR="00000000" w:rsidDel="00000000" w:rsidP="00000000" w:rsidRDefault="00000000" w:rsidRPr="00000000" w14:paraId="0000005D">
      <w:pPr>
        <w:spacing w:after="24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Os critérios gerais de avaliação são eliminatórios, de modo que o agente cultural que obtiver nota 0 (zero) em qualquer critério obrigatório será automaticamente desclassificado do edital.</w:t>
      </w:r>
    </w:p>
    <w:p w:rsidR="00000000" w:rsidDel="00000000" w:rsidP="00000000" w:rsidRDefault="00000000" w:rsidRPr="00000000" w14:paraId="0000005E">
      <w:pPr>
        <w:spacing w:after="24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Os bônus de pontuação, quando previstos, são cumulativos e não eliminatórios, não implicando desclassificação a atribuição de nota 0 (zero) em qualquer item bônus.</w:t>
      </w:r>
    </w:p>
    <w:p w:rsidR="00000000" w:rsidDel="00000000" w:rsidP="00000000" w:rsidRDefault="00000000" w:rsidRPr="00000000" w14:paraId="0000005F">
      <w:pPr>
        <w:spacing w:after="240" w:before="240" w:line="240" w:lineRule="auto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Nota Mínima para Classificação</w:t>
      </w:r>
    </w:p>
    <w:p w:rsidR="00000000" w:rsidDel="00000000" w:rsidP="00000000" w:rsidRDefault="00000000" w:rsidRPr="00000000" w14:paraId="00000060">
      <w:pPr>
        <w:spacing w:after="240" w:before="24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Serão considerados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aptos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os projetos que obtiverem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pontuação final igual ou superior a 40 (quarenta) pontos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61">
      <w:pPr>
        <w:pStyle w:val="Heading2"/>
        <w:keepNext w:val="0"/>
        <w:keepLines w:val="0"/>
        <w:spacing w:line="276" w:lineRule="auto"/>
        <w:ind w:right="120"/>
        <w:jc w:val="both"/>
        <w:rPr>
          <w:rFonts w:ascii="Source Sans 3" w:cs="Source Sans 3" w:eastAsia="Source Sans 3" w:hAnsi="Source Sans 3"/>
          <w:sz w:val="24"/>
          <w:szCs w:val="24"/>
        </w:rPr>
      </w:pPr>
      <w:bookmarkStart w:colFirst="0" w:colLast="0" w:name="_heading=h.9py5qic47yha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2"/>
        <w:keepNext w:val="0"/>
        <w:keepLines w:val="0"/>
        <w:spacing w:line="276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bookmarkStart w:colFirst="0" w:colLast="0" w:name="_heading=h.riv8z7yjzxbg" w:id="3"/>
      <w:bookmarkEnd w:id="3"/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Critérios de Desempate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240" w:before="240" w:line="27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Em caso de empate na pontuação final, a classificação das propostas observará, sucessivamente, os seguintes critérios de desempate:</w:t>
      </w:r>
    </w:p>
    <w:p w:rsidR="00000000" w:rsidDel="00000000" w:rsidP="00000000" w:rsidRDefault="00000000" w:rsidRPr="00000000" w14:paraId="00000064">
      <w:pPr>
        <w:spacing w:after="240" w:before="240" w:line="27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I – inexistência de histórico de recebimento de recursos públicos municipais na área da Cultura;</w:t>
      </w:r>
    </w:p>
    <w:p w:rsidR="00000000" w:rsidDel="00000000" w:rsidP="00000000" w:rsidRDefault="00000000" w:rsidRPr="00000000" w14:paraId="00000065">
      <w:pPr>
        <w:spacing w:after="240" w:before="240" w:line="27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II – sorteio público, devidamente registrado em ata.</w:t>
      </w:r>
    </w:p>
    <w:p w:rsidR="00000000" w:rsidDel="00000000" w:rsidP="00000000" w:rsidRDefault="00000000" w:rsidRPr="00000000" w14:paraId="00000066">
      <w:pPr>
        <w:spacing w:after="120" w:before="120" w:line="276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ource Sans 3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3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-457196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19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0" name="image4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4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6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4"/>
    <w:bookmarkEnd w:id="4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1" name="image4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4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7A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-1265869</wp:posOffset>
          </wp:positionH>
          <wp:positionV relativeFrom="paragraph">
            <wp:posOffset>-281937</wp:posOffset>
          </wp:positionV>
          <wp:extent cx="7885748" cy="381000"/>
          <wp:effectExtent b="0" l="0" r="0" t="0"/>
          <wp:wrapNone/>
          <wp:docPr id="17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-2025" r="-1622" t="0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1933575</wp:posOffset>
          </wp:positionH>
          <wp:positionV relativeFrom="paragraph">
            <wp:posOffset>43433</wp:posOffset>
          </wp:positionV>
          <wp:extent cx="1486853" cy="1059690"/>
          <wp:effectExtent b="0" l="0" r="0" t="0"/>
          <wp:wrapNone/>
          <wp:docPr descr="Logotipo&#10;&#10;O conteúdo gerado por IA pode estar incorreto." id="18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86853" cy="105969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color w:val="ff00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color w:val="ff00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-300987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22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SemiBold-regular.ttf"/><Relationship Id="rId2" Type="http://schemas.openxmlformats.org/officeDocument/2006/relationships/font" Target="fonts/SourceSans3SemiBold-bold.ttf"/><Relationship Id="rId3" Type="http://schemas.openxmlformats.org/officeDocument/2006/relationships/font" Target="fonts/SourceSans3SemiBold-italic.ttf"/><Relationship Id="rId4" Type="http://schemas.openxmlformats.org/officeDocument/2006/relationships/font" Target="fonts/SourceSans3SemiBold-boldItalic.ttf"/><Relationship Id="rId11" Type="http://schemas.openxmlformats.org/officeDocument/2006/relationships/font" Target="fonts/SourceSans3Light-italic.ttf"/><Relationship Id="rId10" Type="http://schemas.openxmlformats.org/officeDocument/2006/relationships/font" Target="fonts/SourceSans3Light-bold.ttf"/><Relationship Id="rId12" Type="http://schemas.openxmlformats.org/officeDocument/2006/relationships/font" Target="fonts/SourceSans3Light-boldItalic.ttf"/><Relationship Id="rId9" Type="http://schemas.openxmlformats.org/officeDocument/2006/relationships/font" Target="fonts/SourceSans3Light-regular.ttf"/><Relationship Id="rId5" Type="http://schemas.openxmlformats.org/officeDocument/2006/relationships/font" Target="fonts/SourceSans3-regular.ttf"/><Relationship Id="rId6" Type="http://schemas.openxmlformats.org/officeDocument/2006/relationships/font" Target="fonts/SourceSans3-bold.ttf"/><Relationship Id="rId7" Type="http://schemas.openxmlformats.org/officeDocument/2006/relationships/font" Target="fonts/SourceSans3-italic.ttf"/><Relationship Id="rId8" Type="http://schemas.openxmlformats.org/officeDocument/2006/relationships/font" Target="fonts/SourceSans3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H3fuDybMApqGjJc30vR8Eg7wcQ==">CgMxLjAyDmguc3NqNGNkNXd2NThrMg5oLjgwMzRyajl3YWd4ODIOaC45cHk1cWljNDd5aGEyDmgucml2OHo3eWp6eGJnMg5oLmU0cjVhbWNiZHoyMDgAciExelhvNTFZQjhrUzNGcVRKWGhRcWJ1RUZza2didm0xcUI=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