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Rule="auto"/>
        <w:ind w:right="120"/>
        <w:jc w:val="center"/>
        <w:rPr>
          <w:rFonts w:ascii="Source Sans 3 SemiBold" w:cs="Source Sans 3 SemiBold" w:eastAsia="Source Sans 3 SemiBold" w:hAnsi="Source Sans 3 SemiBold"/>
          <w:sz w:val="26"/>
          <w:szCs w:val="26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40"/>
          <w:szCs w:val="40"/>
          <w:rtl w:val="0"/>
        </w:rPr>
        <w:t xml:space="preserve">CASA VIVA</w:t>
        <w:br w:type="textWrapping"/>
      </w:r>
      <w:r w:rsidDel="00000000" w:rsidR="00000000" w:rsidRPr="00000000">
        <w:rPr>
          <w:rFonts w:ascii="Source Sans 3 SemiBold" w:cs="Source Sans 3 SemiBold" w:eastAsia="Source Sans 3 SemiBold" w:hAnsi="Source Sans 3 SemiBold"/>
          <w:sz w:val="26"/>
          <w:szCs w:val="26"/>
          <w:rtl w:val="0"/>
        </w:rPr>
        <w:t xml:space="preserve">CHAMAMENTO PÚBLICO Nº 008/2026</w:t>
        <w:br w:type="textWrapping"/>
        <w:t xml:space="preserve">REDE MUNICIPAL DE PONTOS DE CULTURA DE SABARÁ</w:t>
      </w:r>
    </w:p>
    <w:p w:rsidR="00000000" w:rsidDel="00000000" w:rsidP="00000000" w:rsidRDefault="00000000" w:rsidRPr="00000000" w14:paraId="0000000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32"/>
          <w:szCs w:val="32"/>
        </w:rPr>
      </w:pPr>
      <w:r w:rsidDel="00000000" w:rsidR="00000000" w:rsidRPr="00000000">
        <w:rPr>
          <w:rFonts w:ascii="Source Sans 3" w:cs="Source Sans 3" w:eastAsia="Source Sans 3" w:hAnsi="Source Sans 3"/>
          <w:sz w:val="32"/>
          <w:szCs w:val="32"/>
          <w:rtl w:val="0"/>
        </w:rPr>
        <w:t xml:space="preserve">CULTURA VIVA DO TAMANHO DO BRASIL!</w:t>
      </w:r>
    </w:p>
    <w:p w:rsidR="00000000" w:rsidDel="00000000" w:rsidP="00000000" w:rsidRDefault="00000000" w:rsidRPr="00000000" w14:paraId="0000000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8"/>
          <w:szCs w:val="28"/>
        </w:rPr>
      </w:pPr>
      <w:r w:rsidDel="00000000" w:rsidR="00000000" w:rsidRPr="00000000">
        <w:rPr>
          <w:rFonts w:ascii="Source Sans 3" w:cs="Source Sans 3" w:eastAsia="Source Sans 3" w:hAnsi="Source Sans 3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ource Sans 3" w:cs="Source Sans 3" w:eastAsia="Source Sans 3" w:hAnsi="Source Sans 3"/>
          <w:sz w:val="28"/>
          <w:szCs w:val="28"/>
          <w:rtl w:val="0"/>
        </w:rPr>
        <w:t xml:space="preserve">FOMENTO A PROJETOS CONTINUADOS DE PONTOS DE CULTURA</w:t>
      </w:r>
    </w:p>
    <w:p w:rsidR="00000000" w:rsidDel="00000000" w:rsidP="00000000" w:rsidRDefault="00000000" w:rsidRPr="00000000" w14:paraId="0000000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ANEXO II - CRITÉRIOS DE AVALIAÇÃO DA ETAPA DE SELEÇÃO</w:t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jc w:val="center"/>
        <w:rPr>
          <w:rFonts w:ascii="Calibri" w:cs="Calibri" w:eastAsia="Calibri" w:hAnsi="Calibri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u w:val="single"/>
          <w:rtl w:val="0"/>
        </w:rPr>
        <w:br w:type="textWrapping"/>
      </w:r>
    </w:p>
    <w:sdt>
      <w:sdtPr>
        <w:lock w:val="contentLocked"/>
        <w:id w:val="-64229358"/>
        <w:tag w:val="goog_rdk_0"/>
      </w:sdtPr>
      <w:sdtContent>
        <w:tbl>
          <w:tblPr>
            <w:tblStyle w:val="Table1"/>
            <w:tblW w:w="10410.0" w:type="dxa"/>
            <w:jc w:val="center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870"/>
            <w:gridCol w:w="2760"/>
            <w:gridCol w:w="1395"/>
            <w:gridCol w:w="1665"/>
            <w:gridCol w:w="1485"/>
            <w:gridCol w:w="2235"/>
            <w:tblGridChange w:id="0">
              <w:tblGrid>
                <w:gridCol w:w="870"/>
                <w:gridCol w:w="2760"/>
                <w:gridCol w:w="1395"/>
                <w:gridCol w:w="1665"/>
                <w:gridCol w:w="1485"/>
                <w:gridCol w:w="2235"/>
              </w:tblGrid>
            </w:tblGridChange>
          </w:tblGrid>
          <w:tr>
            <w:trPr>
              <w:cantSplit w:val="0"/>
              <w:trHeight w:val="440" w:hRule="atLeast"/>
              <w:tblHeader w:val="0"/>
            </w:trPr>
            <w:tc>
              <w:tcPr>
                <w:shd w:fill="ffe59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7">
                <w:pPr>
                  <w:widowControl w:val="0"/>
                  <w:spacing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ITEM</w:t>
                </w:r>
              </w:p>
            </w:tc>
            <w:tc>
              <w:tcPr>
                <w:shd w:fill="ffe59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8">
                <w:pPr>
                  <w:widowControl w:val="0"/>
                  <w:spacing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CRITÉRIOS</w:t>
                </w:r>
              </w:p>
            </w:tc>
            <w:tc>
              <w:tcPr>
                <w:gridSpan w:val="3"/>
                <w:shd w:fill="ffe59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9">
                <w:pPr>
                  <w:widowControl w:val="0"/>
                  <w:spacing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DISTRIBUIÇÃO DE PONTOS</w:t>
                </w:r>
              </w:p>
            </w:tc>
            <w:tc>
              <w:tcPr>
                <w:shd w:fill="ffe59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C">
                <w:pPr>
                  <w:widowControl w:val="0"/>
                  <w:spacing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PONTUAÇÃO MÁXIMA NO ITEM</w:t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fff2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D">
                <w:pPr>
                  <w:widowControl w:val="0"/>
                  <w:spacing w:before="240" w:line="240" w:lineRule="auto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I</w:t>
                </w:r>
              </w:p>
            </w:tc>
            <w:tc>
              <w:tcPr>
                <w:shd w:fill="fff2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E">
                <w:pPr>
                  <w:widowControl w:val="0"/>
                  <w:spacing w:before="240" w:line="240" w:lineRule="auto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A partir do portfólio, do formulário de inscrição e demais materiais enviados, e considerando os objetivos de Pontos de Cultura definidos na Lei que institui a Política Nacional de Cultura Viva (Lei nº 13.018/2014, art. 6º, I), analisar se o Ponto ou Pontão de Cultura atende aos seguintes critérios:</w:t>
                </w:r>
              </w:p>
            </w:tc>
            <w:tc>
              <w:tcPr>
                <w:shd w:fill="fff2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F">
                <w:pPr>
                  <w:widowControl w:val="0"/>
                  <w:spacing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Não Atende</w:t>
                </w:r>
              </w:p>
            </w:tc>
            <w:tc>
              <w:tcPr>
                <w:shd w:fill="fff2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0">
                <w:pPr>
                  <w:widowControl w:val="0"/>
                  <w:spacing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Atende Parcialmente</w:t>
                </w:r>
              </w:p>
            </w:tc>
            <w:tc>
              <w:tcPr>
                <w:shd w:fill="fff2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1">
                <w:pPr>
                  <w:widowControl w:val="0"/>
                  <w:spacing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Atende Plenamente</w:t>
                </w:r>
              </w:p>
            </w:tc>
            <w:tc>
              <w:tcPr>
                <w:vMerge w:val="restart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2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30 pontos</w:t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3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a)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4">
                <w:pPr>
                  <w:widowControl w:val="0"/>
                  <w:spacing w:after="120" w:before="240"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Promove, amplia e garante a criação e a produção artística e cultural.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5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6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5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7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10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8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9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b)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A">
                <w:pPr>
                  <w:widowControl w:val="0"/>
                  <w:spacing w:after="120" w:before="240"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Garante acesso aos meios de fruição, produção e difusão cultural. </w:t>
                </w:r>
              </w:p>
              <w:p w:rsidR="00000000" w:rsidDel="00000000" w:rsidP="00000000" w:rsidRDefault="00000000" w:rsidRPr="00000000" w14:paraId="0000001B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C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D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5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E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10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F">
                <w:pPr>
                  <w:widowControl w:val="0"/>
                  <w:spacing w:line="240" w:lineRule="auto"/>
                  <w:rPr>
                    <w:rFonts w:ascii="Calibri" w:cs="Calibri" w:eastAsia="Calibri" w:hAnsi="Calibri"/>
                    <w:b w:val="1"/>
                    <w:bCs w:val="1"/>
                    <w:sz w:val="24"/>
                    <w:szCs w:val="24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0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c)</w:t>
                </w:r>
              </w:p>
            </w:tc>
            <w:tc>
              <w:tcPr>
                <w:tcBorders>
                  <w:top w:color="000000" w:space="0" w:sz="5" w:val="single"/>
                  <w:left w:color="000000" w:space="0" w:sz="5" w:val="single"/>
                  <w:bottom w:color="000000" w:space="0" w:sz="5" w:val="single"/>
                  <w:right w:color="000000" w:space="0" w:sz="5" w:val="single"/>
                </w:tcBorders>
                <w:tcMar>
                  <w:top w:w="0.0" w:type="dxa"/>
                  <w:left w:w="0.0" w:type="dxa"/>
                  <w:bottom w:w="0.0" w:type="dxa"/>
                  <w:right w:w="0.0" w:type="dxa"/>
                </w:tcMar>
                <w:vAlign w:val="top"/>
              </w:tcPr>
              <w:p w:rsidR="00000000" w:rsidDel="00000000" w:rsidP="00000000" w:rsidRDefault="00000000" w:rsidRPr="00000000" w14:paraId="00000021">
                <w:pPr>
                  <w:widowControl w:val="0"/>
                  <w:spacing w:after="240" w:before="240"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ab/>
                  <w:tab/>
                  <w:tab/>
                  <w:t xml:space="preserve">Realiza atividades culturais gratuitas e abertas ao público com regularidade na comunidade.</w:t>
                </w:r>
              </w:p>
              <w:p w:rsidR="00000000" w:rsidDel="00000000" w:rsidP="00000000" w:rsidRDefault="00000000" w:rsidRPr="00000000" w14:paraId="00000022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ab/>
                  <w:tab/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3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4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5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5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10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6">
                <w:pPr>
                  <w:widowControl w:val="0"/>
                  <w:spacing w:line="240" w:lineRule="auto"/>
                  <w:rPr>
                    <w:rFonts w:ascii="Calibri" w:cs="Calibri" w:eastAsia="Calibri" w:hAnsi="Calibri"/>
                    <w:b w:val="1"/>
                    <w:bCs w:val="1"/>
                    <w:sz w:val="24"/>
                    <w:szCs w:val="24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fff2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7">
                <w:pPr>
                  <w:widowControl w:val="0"/>
                  <w:spacing w:line="240" w:lineRule="auto"/>
                  <w:rPr>
                    <w:rFonts w:ascii="Source Sans 3" w:cs="Source Sans 3" w:eastAsia="Source Sans 3" w:hAnsi="Source Sans 3"/>
                    <w:sz w:val="24"/>
                    <w:szCs w:val="24"/>
                    <w:u w:val="single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u w:val="single"/>
                    <w:rtl w:val="0"/>
                  </w:rPr>
                  <w:t xml:space="preserve">II</w:t>
                </w:r>
              </w:p>
            </w:tc>
            <w:tc>
              <w:tcPr>
                <w:tcBorders>
                  <w:top w:color="000000" w:space="0" w:sz="5" w:val="single"/>
                  <w:left w:color="000000" w:space="0" w:sz="5" w:val="single"/>
                  <w:bottom w:color="000000" w:space="0" w:sz="5" w:val="single"/>
                  <w:right w:color="000000" w:space="0" w:sz="5" w:val="single"/>
                </w:tcBorders>
                <w:shd w:fill="fff2cc" w:val="clear"/>
                <w:tcMar>
                  <w:top w:w="0.0" w:type="dxa"/>
                  <w:left w:w="0.0" w:type="dxa"/>
                  <w:bottom w:w="0.0" w:type="dxa"/>
                  <w:right w:w="0.0" w:type="dxa"/>
                </w:tcMar>
                <w:vAlign w:val="top"/>
              </w:tcPr>
              <w:p w:rsidR="00000000" w:rsidDel="00000000" w:rsidP="00000000" w:rsidRDefault="00000000" w:rsidRPr="00000000" w14:paraId="00000028">
                <w:pPr>
                  <w:widowControl w:val="0"/>
                  <w:spacing w:after="240" w:before="240" w:line="240" w:lineRule="auto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Efeitos artístico-culturais, sociais e econômicos esperados com o projeto:</w:t>
                  <w:tab/>
                </w:r>
              </w:p>
            </w:tc>
            <w:tc>
              <w:tcPr>
                <w:shd w:fill="fff2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9">
                <w:pPr>
                  <w:widowControl w:val="0"/>
                  <w:spacing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Não Atende</w:t>
                </w:r>
              </w:p>
            </w:tc>
            <w:tc>
              <w:tcPr>
                <w:shd w:fill="fff2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A">
                <w:pPr>
                  <w:widowControl w:val="0"/>
                  <w:spacing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Atende Parcialmente</w:t>
                </w:r>
              </w:p>
            </w:tc>
            <w:tc>
              <w:tcPr>
                <w:shd w:fill="fff2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B">
                <w:pPr>
                  <w:widowControl w:val="0"/>
                  <w:spacing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Atende Plenamente</w:t>
                </w:r>
              </w:p>
            </w:tc>
            <w:tc>
              <w:tcPr>
                <w:vMerge w:val="restart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C">
                <w:pPr>
                  <w:widowControl w:val="0"/>
                  <w:spacing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33 pontos</w:t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D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a)</w:t>
                </w:r>
              </w:p>
            </w:tc>
            <w:tc>
              <w:tcPr>
                <w:tcBorders>
                  <w:top w:color="000000" w:space="0" w:sz="5" w:val="single"/>
                  <w:left w:color="000000" w:space="0" w:sz="5" w:val="single"/>
                  <w:bottom w:color="000000" w:space="0" w:sz="5" w:val="single"/>
                  <w:right w:color="000000" w:space="0" w:sz="5" w:val="single"/>
                </w:tcBorders>
                <w:tcMar>
                  <w:top w:w="0.0" w:type="dxa"/>
                  <w:left w:w="0.0" w:type="dxa"/>
                  <w:bottom w:w="0.0" w:type="dxa"/>
                  <w:right w:w="0.0" w:type="dxa"/>
                </w:tcMar>
                <w:vAlign w:val="top"/>
              </w:tcPr>
              <w:p w:rsidR="00000000" w:rsidDel="00000000" w:rsidP="00000000" w:rsidRDefault="00000000" w:rsidRPr="00000000" w14:paraId="0000002E">
                <w:pPr>
                  <w:widowControl w:val="0"/>
                  <w:spacing w:after="240" w:before="240"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O projeto contribui com a prática da cidadania cultural, com a ampliação das condições de acesso da comunidade aos bens e serviços culturais.</w:t>
                  <w:tab/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F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0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1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5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2">
                <w:pPr>
                  <w:widowControl w:val="0"/>
                  <w:spacing w:line="240" w:lineRule="auto"/>
                  <w:rPr>
                    <w:rFonts w:ascii="Calibri" w:cs="Calibri" w:eastAsia="Calibri" w:hAnsi="Calibri"/>
                    <w:b w:val="1"/>
                    <w:bCs w:val="1"/>
                    <w:sz w:val="24"/>
                    <w:szCs w:val="24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3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b)</w:t>
                </w:r>
              </w:p>
            </w:tc>
            <w:tc>
              <w:tcPr>
                <w:tcBorders>
                  <w:top w:color="000000" w:space="0" w:sz="5" w:val="single"/>
                  <w:left w:color="000000" w:space="0" w:sz="5" w:val="single"/>
                  <w:bottom w:color="000000" w:space="0" w:sz="5" w:val="single"/>
                  <w:right w:color="000000" w:space="0" w:sz="5" w:val="single"/>
                </w:tcBorders>
                <w:tcMar>
                  <w:top w:w="0.0" w:type="dxa"/>
                  <w:left w:w="0.0" w:type="dxa"/>
                  <w:bottom w:w="0.0" w:type="dxa"/>
                  <w:right w:w="0.0" w:type="dxa"/>
                </w:tcMar>
                <w:vAlign w:val="top"/>
              </w:tcPr>
              <w:p w:rsidR="00000000" w:rsidDel="00000000" w:rsidP="00000000" w:rsidRDefault="00000000" w:rsidRPr="00000000" w14:paraId="00000034">
                <w:pPr>
                  <w:widowControl w:val="0"/>
                  <w:spacing w:before="240"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As oficinas/ações formativas impactam de forma efetiva com a ampliação de repertórios artísticos e culturais.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5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6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7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5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8">
                <w:pPr>
                  <w:widowControl w:val="0"/>
                  <w:spacing w:line="240" w:lineRule="auto"/>
                  <w:rPr>
                    <w:rFonts w:ascii="Calibri" w:cs="Calibri" w:eastAsia="Calibri" w:hAnsi="Calibri"/>
                    <w:b w:val="1"/>
                    <w:bCs w:val="1"/>
                    <w:sz w:val="24"/>
                    <w:szCs w:val="24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9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c)</w:t>
                </w:r>
              </w:p>
            </w:tc>
            <w:tc>
              <w:tcPr>
                <w:tcBorders>
                  <w:top w:color="000000" w:space="0" w:sz="5" w:val="single"/>
                  <w:left w:color="000000" w:space="0" w:sz="5" w:val="single"/>
                  <w:bottom w:color="000000" w:space="0" w:sz="5" w:val="single"/>
                  <w:right w:color="000000" w:space="0" w:sz="5" w:val="single"/>
                </w:tcBorders>
                <w:tcMar>
                  <w:top w:w="0.0" w:type="dxa"/>
                  <w:left w:w="0.0" w:type="dxa"/>
                  <w:bottom w:w="0.0" w:type="dxa"/>
                  <w:right w:w="0.0" w:type="dxa"/>
                </w:tcMar>
                <w:vAlign w:val="top"/>
              </w:tcPr>
              <w:p w:rsidR="00000000" w:rsidDel="00000000" w:rsidP="00000000" w:rsidRDefault="00000000" w:rsidRPr="00000000" w14:paraId="0000003A">
                <w:pPr>
                  <w:widowControl w:val="0"/>
                  <w:spacing w:before="240"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As estratégias de acessibilidade promovem o acesso e o protagonismo das pessoas com deficiência.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B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C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D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5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E">
                <w:pPr>
                  <w:widowControl w:val="0"/>
                  <w:spacing w:line="240" w:lineRule="auto"/>
                  <w:rPr>
                    <w:rFonts w:ascii="Calibri" w:cs="Calibri" w:eastAsia="Calibri" w:hAnsi="Calibri"/>
                    <w:b w:val="1"/>
                    <w:bCs w:val="1"/>
                    <w:sz w:val="24"/>
                    <w:szCs w:val="24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F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d)</w:t>
                </w:r>
              </w:p>
            </w:tc>
            <w:tc>
              <w:tcPr>
                <w:tcBorders>
                  <w:top w:color="000000" w:space="0" w:sz="5" w:val="single"/>
                  <w:left w:color="000000" w:space="0" w:sz="5" w:val="single"/>
                  <w:bottom w:color="000000" w:space="0" w:sz="5" w:val="single"/>
                  <w:right w:color="000000" w:space="0" w:sz="5" w:val="single"/>
                </w:tcBorders>
                <w:tcMar>
                  <w:top w:w="0.0" w:type="dxa"/>
                  <w:left w:w="0.0" w:type="dxa"/>
                  <w:bottom w:w="0.0" w:type="dxa"/>
                  <w:right w:w="0.0" w:type="dxa"/>
                </w:tcMar>
                <w:vAlign w:val="top"/>
              </w:tcPr>
              <w:p w:rsidR="00000000" w:rsidDel="00000000" w:rsidP="00000000" w:rsidRDefault="00000000" w:rsidRPr="00000000" w14:paraId="00000040">
                <w:pPr>
                  <w:widowControl w:val="0"/>
                  <w:spacing w:before="240"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O projeto estimula a diversidade cultural e a alteridade, promovendo o protagonismo e a interação entre grupos vulneráveis e excluídos.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1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2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3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5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4">
                <w:pPr>
                  <w:widowControl w:val="0"/>
                  <w:spacing w:line="240" w:lineRule="auto"/>
                  <w:rPr>
                    <w:rFonts w:ascii="Calibri" w:cs="Calibri" w:eastAsia="Calibri" w:hAnsi="Calibri"/>
                    <w:b w:val="1"/>
                    <w:bCs w:val="1"/>
                    <w:sz w:val="24"/>
                    <w:szCs w:val="24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5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e)</w:t>
                </w:r>
              </w:p>
            </w:tc>
            <w:tc>
              <w:tcPr>
                <w:tcBorders>
                  <w:top w:color="000000" w:space="0" w:sz="5" w:val="single"/>
                  <w:left w:color="000000" w:space="0" w:sz="5" w:val="single"/>
                  <w:bottom w:color="000000" w:space="0" w:sz="5" w:val="single"/>
                  <w:right w:color="000000" w:space="0" w:sz="5" w:val="single"/>
                </w:tcBorders>
                <w:tcMar>
                  <w:top w:w="0.0" w:type="dxa"/>
                  <w:left w:w="0.0" w:type="dxa"/>
                  <w:bottom w:w="0.0" w:type="dxa"/>
                  <w:right w:w="0.0" w:type="dxa"/>
                </w:tcMar>
                <w:vAlign w:val="top"/>
              </w:tcPr>
              <w:p w:rsidR="00000000" w:rsidDel="00000000" w:rsidP="00000000" w:rsidRDefault="00000000" w:rsidRPr="00000000" w14:paraId="00000046">
                <w:pPr>
                  <w:widowControl w:val="0"/>
                  <w:spacing w:before="240"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Promove a expressividade e a criação estética.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7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8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9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5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A">
                <w:pPr>
                  <w:widowControl w:val="0"/>
                  <w:spacing w:line="240" w:lineRule="auto"/>
                  <w:rPr>
                    <w:rFonts w:ascii="Calibri" w:cs="Calibri" w:eastAsia="Calibri" w:hAnsi="Calibri"/>
                    <w:b w:val="1"/>
                    <w:bCs w:val="1"/>
                    <w:sz w:val="24"/>
                    <w:szCs w:val="24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B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f)</w:t>
                </w:r>
              </w:p>
            </w:tc>
            <w:tc>
              <w:tcPr>
                <w:tcBorders>
                  <w:top w:color="000000" w:space="0" w:sz="5" w:val="single"/>
                  <w:left w:color="000000" w:space="0" w:sz="5" w:val="single"/>
                  <w:bottom w:color="000000" w:space="0" w:sz="5" w:val="single"/>
                  <w:right w:color="000000" w:space="0" w:sz="5" w:val="single"/>
                </w:tcBorders>
                <w:tcMar>
                  <w:top w:w="0.0" w:type="dxa"/>
                  <w:left w:w="0.0" w:type="dxa"/>
                  <w:bottom w:w="0.0" w:type="dxa"/>
                  <w:right w:w="0.0" w:type="dxa"/>
                </w:tcMar>
                <w:vAlign w:val="top"/>
              </w:tcPr>
              <w:p w:rsidR="00000000" w:rsidDel="00000000" w:rsidP="00000000" w:rsidRDefault="00000000" w:rsidRPr="00000000" w14:paraId="0000004C">
                <w:pPr>
                  <w:widowControl w:val="0"/>
                  <w:spacing w:before="240"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As ações previstas contribuem com a geração de trabalho e renda na comunidade.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D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E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2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F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0">
                <w:pPr>
                  <w:widowControl w:val="0"/>
                  <w:spacing w:line="240" w:lineRule="auto"/>
                  <w:rPr>
                    <w:rFonts w:ascii="Calibri" w:cs="Calibri" w:eastAsia="Calibri" w:hAnsi="Calibri"/>
                    <w:b w:val="1"/>
                    <w:bCs w:val="1"/>
                    <w:sz w:val="24"/>
                    <w:szCs w:val="24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1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g)</w:t>
                </w:r>
              </w:p>
            </w:tc>
            <w:tc>
              <w:tcPr>
                <w:tcBorders>
                  <w:top w:color="000000" w:space="0" w:sz="5" w:val="single"/>
                  <w:left w:color="000000" w:space="0" w:sz="5" w:val="single"/>
                  <w:bottom w:color="000000" w:space="0" w:sz="5" w:val="single"/>
                  <w:right w:color="000000" w:space="0" w:sz="5" w:val="single"/>
                </w:tcBorders>
                <w:tcMar>
                  <w:top w:w="0.0" w:type="dxa"/>
                  <w:left w:w="0.0" w:type="dxa"/>
                  <w:bottom w:w="0.0" w:type="dxa"/>
                  <w:right w:w="0.0" w:type="dxa"/>
                </w:tcMar>
                <w:vAlign w:val="top"/>
              </w:tcPr>
              <w:p w:rsidR="00000000" w:rsidDel="00000000" w:rsidP="00000000" w:rsidRDefault="00000000" w:rsidRPr="00000000" w14:paraId="00000052">
                <w:pPr>
                  <w:widowControl w:val="0"/>
                  <w:spacing w:after="240" w:before="240"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O projeto prevê estratégias efetivas de participação da comunidade na gestão do Ponto de Cultura.</w:t>
                  <w:tab/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3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4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5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5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6">
                <w:pPr>
                  <w:widowControl w:val="0"/>
                  <w:spacing w:line="240" w:lineRule="auto"/>
                  <w:rPr>
                    <w:rFonts w:ascii="Calibri" w:cs="Calibri" w:eastAsia="Calibri" w:hAnsi="Calibri"/>
                    <w:b w:val="1"/>
                    <w:bCs w:val="1"/>
                    <w:sz w:val="24"/>
                    <w:szCs w:val="24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fff2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7">
                <w:pPr>
                  <w:widowControl w:val="0"/>
                  <w:spacing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III</w:t>
                </w:r>
              </w:p>
            </w:tc>
            <w:tc>
              <w:tcPr>
                <w:tcBorders>
                  <w:top w:color="000000" w:space="0" w:sz="5" w:val="single"/>
                  <w:left w:color="000000" w:space="0" w:sz="5" w:val="single"/>
                  <w:bottom w:color="000000" w:space="0" w:sz="5" w:val="single"/>
                  <w:right w:color="000000" w:space="0" w:sz="5" w:val="single"/>
                </w:tcBorders>
                <w:shd w:fill="fff2cc" w:val="clear"/>
                <w:tcMar>
                  <w:top w:w="0.0" w:type="dxa"/>
                  <w:left w:w="0.0" w:type="dxa"/>
                  <w:bottom w:w="0.0" w:type="dxa"/>
                  <w:right w:w="0.0" w:type="dxa"/>
                </w:tcMar>
                <w:vAlign w:val="top"/>
              </w:tcPr>
              <w:p w:rsidR="00000000" w:rsidDel="00000000" w:rsidP="00000000" w:rsidRDefault="00000000" w:rsidRPr="00000000" w14:paraId="00000058">
                <w:pPr>
                  <w:widowControl w:val="0"/>
                  <w:spacing w:after="240" w:before="240" w:line="240" w:lineRule="auto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Execução e detalhamento do Plano de Trabalho</w:t>
                </w:r>
              </w:p>
            </w:tc>
            <w:tc>
              <w:tcPr>
                <w:shd w:fill="fff2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9">
                <w:pPr>
                  <w:widowControl w:val="0"/>
                  <w:spacing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Não Atende</w:t>
                </w:r>
              </w:p>
            </w:tc>
            <w:tc>
              <w:tcPr>
                <w:shd w:fill="fff2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A">
                <w:pPr>
                  <w:widowControl w:val="0"/>
                  <w:spacing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Atende Parcialmente</w:t>
                </w:r>
              </w:p>
            </w:tc>
            <w:tc>
              <w:tcPr>
                <w:shd w:fill="fff2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B">
                <w:pPr>
                  <w:widowControl w:val="0"/>
                  <w:spacing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Atende Plenamente</w:t>
                </w:r>
              </w:p>
            </w:tc>
            <w:tc>
              <w:tcPr>
                <w:vMerge w:val="restart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C">
                <w:pPr>
                  <w:widowControl w:val="0"/>
                  <w:spacing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22 pontos</w:t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D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a)</w:t>
                </w:r>
              </w:p>
            </w:tc>
            <w:tc>
              <w:tcPr>
                <w:tcBorders>
                  <w:top w:color="000000" w:space="0" w:sz="5" w:val="single"/>
                  <w:left w:color="000000" w:space="0" w:sz="5" w:val="single"/>
                  <w:bottom w:color="000000" w:space="0" w:sz="5" w:val="single"/>
                  <w:right w:color="000000" w:space="0" w:sz="5" w:val="single"/>
                </w:tcBorders>
                <w:tcMar>
                  <w:top w:w="0.0" w:type="dxa"/>
                  <w:left w:w="0.0" w:type="dxa"/>
                  <w:bottom w:w="0.0" w:type="dxa"/>
                  <w:right w:w="0.0" w:type="dxa"/>
                </w:tcMar>
                <w:vAlign w:val="top"/>
              </w:tcPr>
              <w:p w:rsidR="00000000" w:rsidDel="00000000" w:rsidP="00000000" w:rsidRDefault="00000000" w:rsidRPr="00000000" w14:paraId="0000005E">
                <w:pPr>
                  <w:widowControl w:val="0"/>
                  <w:spacing w:before="240"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Capacidade técnica, gerencial e operacional da entidade para execução do projeto (vinculação do portfólio com o projeto apresentado)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F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0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2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1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4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2">
                <w:pPr>
                  <w:widowControl w:val="0"/>
                  <w:spacing w:line="240" w:lineRule="auto"/>
                  <w:rPr>
                    <w:rFonts w:ascii="Calibri" w:cs="Calibri" w:eastAsia="Calibri" w:hAnsi="Calibri"/>
                    <w:b w:val="1"/>
                    <w:bCs w:val="1"/>
                    <w:sz w:val="24"/>
                    <w:szCs w:val="24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3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b)</w:t>
                </w:r>
              </w:p>
            </w:tc>
            <w:tc>
              <w:tcPr>
                <w:tcBorders>
                  <w:top w:color="000000" w:space="0" w:sz="5" w:val="single"/>
                  <w:left w:color="000000" w:space="0" w:sz="5" w:val="single"/>
                  <w:bottom w:color="000000" w:space="0" w:sz="5" w:val="single"/>
                  <w:right w:color="000000" w:space="0" w:sz="5" w:val="single"/>
                </w:tcBorders>
                <w:tcMar>
                  <w:top w:w="0.0" w:type="dxa"/>
                  <w:left w:w="0.0" w:type="dxa"/>
                  <w:bottom w:w="0.0" w:type="dxa"/>
                  <w:right w:w="0.0" w:type="dxa"/>
                </w:tcMar>
                <w:vAlign w:val="top"/>
              </w:tcPr>
              <w:p w:rsidR="00000000" w:rsidDel="00000000" w:rsidP="00000000" w:rsidRDefault="00000000" w:rsidRPr="00000000" w14:paraId="00000064">
                <w:pPr>
                  <w:widowControl w:val="0"/>
                  <w:spacing w:before="240"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O projeto apresenta coerência e razoabilidade entre as ações, os itens de despesas e seus custos. Define metas razoáveis e exequíveis com informações sobre ações a serem executadas e prazos.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5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6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2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7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4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8">
                <w:pPr>
                  <w:widowControl w:val="0"/>
                  <w:spacing w:line="240" w:lineRule="auto"/>
                  <w:rPr>
                    <w:rFonts w:ascii="Calibri" w:cs="Calibri" w:eastAsia="Calibri" w:hAnsi="Calibri"/>
                    <w:b w:val="1"/>
                    <w:bCs w:val="1"/>
                    <w:sz w:val="24"/>
                    <w:szCs w:val="24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9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c)</w:t>
                </w:r>
              </w:p>
            </w:tc>
            <w:tc>
              <w:tcPr>
                <w:tcBorders>
                  <w:top w:color="000000" w:space="0" w:sz="5" w:val="single"/>
                  <w:left w:color="000000" w:space="0" w:sz="5" w:val="single"/>
                  <w:bottom w:color="000000" w:space="0" w:sz="5" w:val="single"/>
                  <w:right w:color="000000" w:space="0" w:sz="5" w:val="single"/>
                </w:tcBorders>
                <w:tcMar>
                  <w:top w:w="0.0" w:type="dxa"/>
                  <w:left w:w="0.0" w:type="dxa"/>
                  <w:bottom w:w="0.0" w:type="dxa"/>
                  <w:right w:w="0.0" w:type="dxa"/>
                </w:tcMar>
                <w:vAlign w:val="top"/>
              </w:tcPr>
              <w:p w:rsidR="00000000" w:rsidDel="00000000" w:rsidP="00000000" w:rsidRDefault="00000000" w:rsidRPr="00000000" w14:paraId="0000006A">
                <w:pPr>
                  <w:widowControl w:val="0"/>
                  <w:spacing w:before="240"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O projeto prevê estratégias pertinentes em relação aos resultados pretendidos.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B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C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D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5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E">
                <w:pPr>
                  <w:widowControl w:val="0"/>
                  <w:spacing w:line="240" w:lineRule="auto"/>
                  <w:rPr>
                    <w:rFonts w:ascii="Calibri" w:cs="Calibri" w:eastAsia="Calibri" w:hAnsi="Calibri"/>
                    <w:b w:val="1"/>
                    <w:bCs w:val="1"/>
                    <w:sz w:val="24"/>
                    <w:szCs w:val="24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F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d)</w:t>
                </w:r>
              </w:p>
            </w:tc>
            <w:tc>
              <w:tcPr>
                <w:tcBorders>
                  <w:top w:color="000000" w:space="0" w:sz="5" w:val="single"/>
                  <w:left w:color="000000" w:space="0" w:sz="5" w:val="single"/>
                  <w:bottom w:color="000000" w:space="0" w:sz="5" w:val="single"/>
                  <w:right w:color="000000" w:space="0" w:sz="5" w:val="single"/>
                </w:tcBorders>
                <w:tcMar>
                  <w:top w:w="0.0" w:type="dxa"/>
                  <w:left w:w="0.0" w:type="dxa"/>
                  <w:bottom w:w="0.0" w:type="dxa"/>
                  <w:right w:w="0.0" w:type="dxa"/>
                </w:tcMar>
                <w:vAlign w:val="top"/>
              </w:tcPr>
              <w:p w:rsidR="00000000" w:rsidDel="00000000" w:rsidP="00000000" w:rsidRDefault="00000000" w:rsidRPr="00000000" w14:paraId="00000070">
                <w:pPr>
                  <w:widowControl w:val="0"/>
                  <w:spacing w:before="240"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O projeto prevê e detalha estratégias de divulgação específicas, com capacidade de democratização da informação acerca de suas ações.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1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2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2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3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4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4">
                <w:pPr>
                  <w:widowControl w:val="0"/>
                  <w:spacing w:line="240" w:lineRule="auto"/>
                  <w:rPr>
                    <w:rFonts w:ascii="Calibri" w:cs="Calibri" w:eastAsia="Calibri" w:hAnsi="Calibri"/>
                    <w:b w:val="1"/>
                    <w:bCs w:val="1"/>
                    <w:sz w:val="24"/>
                    <w:szCs w:val="24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5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e)</w:t>
                </w:r>
              </w:p>
            </w:tc>
            <w:tc>
              <w:tcPr>
                <w:tcBorders>
                  <w:top w:color="000000" w:space="0" w:sz="5" w:val="single"/>
                  <w:left w:color="000000" w:space="0" w:sz="5" w:val="single"/>
                  <w:bottom w:color="000000" w:space="0" w:sz="5" w:val="single"/>
                  <w:right w:color="000000" w:space="0" w:sz="5" w:val="single"/>
                </w:tcBorders>
                <w:tcMar>
                  <w:top w:w="0.0" w:type="dxa"/>
                  <w:left w:w="0.0" w:type="dxa"/>
                  <w:bottom w:w="0.0" w:type="dxa"/>
                  <w:right w:w="0.0" w:type="dxa"/>
                </w:tcMar>
                <w:vAlign w:val="top"/>
              </w:tcPr>
              <w:p w:rsidR="00000000" w:rsidDel="00000000" w:rsidP="00000000" w:rsidRDefault="00000000" w:rsidRPr="00000000" w14:paraId="00000076">
                <w:pPr>
                  <w:widowControl w:val="0"/>
                  <w:spacing w:before="240"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A equipe técnica prevista é adequada para a realização do projeto.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7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8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9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5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A">
                <w:pPr>
                  <w:widowControl w:val="0"/>
                  <w:spacing w:line="240" w:lineRule="auto"/>
                  <w:rPr>
                    <w:rFonts w:ascii="Calibri" w:cs="Calibri" w:eastAsia="Calibri" w:hAnsi="Calibri"/>
                    <w:b w:val="1"/>
                    <w:bCs w:val="1"/>
                    <w:sz w:val="24"/>
                    <w:szCs w:val="24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fff2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B">
                <w:pPr>
                  <w:widowControl w:val="0"/>
                  <w:spacing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IV</w:t>
                </w:r>
              </w:p>
            </w:tc>
            <w:tc>
              <w:tcPr>
                <w:tcBorders>
                  <w:top w:color="000000" w:space="0" w:sz="5" w:val="single"/>
                  <w:left w:color="000000" w:space="0" w:sz="5" w:val="single"/>
                  <w:bottom w:color="000000" w:space="0" w:sz="5" w:val="single"/>
                  <w:right w:color="000000" w:space="0" w:sz="5" w:val="single"/>
                </w:tcBorders>
                <w:shd w:fill="fff2cc" w:val="clear"/>
                <w:tcMar>
                  <w:top w:w="0.0" w:type="dxa"/>
                  <w:left w:w="0.0" w:type="dxa"/>
                  <w:bottom w:w="0.0" w:type="dxa"/>
                  <w:right w:w="0.0" w:type="dxa"/>
                </w:tcMar>
                <w:vAlign w:val="top"/>
              </w:tcPr>
              <w:p w:rsidR="00000000" w:rsidDel="00000000" w:rsidP="00000000" w:rsidRDefault="00000000" w:rsidRPr="00000000" w14:paraId="0000007C">
                <w:pPr>
                  <w:widowControl w:val="0"/>
                  <w:spacing w:before="240"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Abrangência do projeto considerando o público beneficiário a partir das informações dispostas no Planejamento do Projeto, a candidatura atenderá diretamente os seguintes públicos:</w:t>
                </w:r>
              </w:p>
            </w:tc>
            <w:tc>
              <w:tcPr>
                <w:shd w:fill="fff2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D">
                <w:pPr>
                  <w:widowControl w:val="0"/>
                  <w:spacing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Não Atende</w:t>
                </w:r>
              </w:p>
            </w:tc>
            <w:tc>
              <w:tcPr>
                <w:shd w:fill="fff2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E">
                <w:pPr>
                  <w:widowControl w:val="0"/>
                  <w:spacing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Atende Parcialmente</w:t>
                </w:r>
              </w:p>
            </w:tc>
            <w:tc>
              <w:tcPr>
                <w:shd w:fill="fff2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F">
                <w:pPr>
                  <w:widowControl w:val="0"/>
                  <w:spacing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Atende Plenamente</w:t>
                </w:r>
              </w:p>
            </w:tc>
            <w:tc>
              <w:tcPr>
                <w:vMerge w:val="restart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0">
                <w:pPr>
                  <w:widowControl w:val="0"/>
                  <w:spacing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15 pontos</w:t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1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a)</w:t>
                </w:r>
              </w:p>
            </w:tc>
            <w:tc>
              <w:tcPr>
                <w:tcBorders>
                  <w:top w:color="000000" w:space="0" w:sz="5" w:val="single"/>
                  <w:left w:color="000000" w:space="0" w:sz="5" w:val="single"/>
                  <w:bottom w:color="000000" w:space="0" w:sz="5" w:val="single"/>
                  <w:right w:color="000000" w:space="0" w:sz="5" w:val="single"/>
                </w:tcBorders>
                <w:tcMar>
                  <w:top w:w="0.0" w:type="dxa"/>
                  <w:left w:w="0.0" w:type="dxa"/>
                  <w:bottom w:w="0.0" w:type="dxa"/>
                  <w:right w:w="0.0" w:type="dxa"/>
                </w:tcMar>
                <w:vAlign w:val="top"/>
              </w:tcPr>
              <w:p w:rsidR="00000000" w:rsidDel="00000000" w:rsidP="00000000" w:rsidRDefault="00000000" w:rsidRPr="00000000" w14:paraId="00000082">
                <w:pPr>
                  <w:widowControl w:val="0"/>
                  <w:spacing w:before="240"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Estudantes da Rede Pública de ensino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3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4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1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5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2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6">
                <w:pPr>
                  <w:widowControl w:val="0"/>
                  <w:spacing w:line="240" w:lineRule="auto"/>
                  <w:rPr>
                    <w:rFonts w:ascii="Calibri" w:cs="Calibri" w:eastAsia="Calibri" w:hAnsi="Calibri"/>
                    <w:b w:val="1"/>
                    <w:bCs w:val="1"/>
                    <w:sz w:val="24"/>
                    <w:szCs w:val="24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7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b)</w:t>
                </w:r>
              </w:p>
            </w:tc>
            <w:tc>
              <w:tcPr>
                <w:tcBorders>
                  <w:top w:color="000000" w:space="0" w:sz="5" w:val="single"/>
                  <w:left w:color="000000" w:space="0" w:sz="5" w:val="single"/>
                  <w:bottom w:color="000000" w:space="0" w:sz="5" w:val="single"/>
                  <w:right w:color="000000" w:space="0" w:sz="5" w:val="single"/>
                </w:tcBorders>
                <w:tcMar>
                  <w:top w:w="0.0" w:type="dxa"/>
                  <w:left w:w="0.0" w:type="dxa"/>
                  <w:bottom w:w="0.0" w:type="dxa"/>
                  <w:right w:w="0.0" w:type="dxa"/>
                </w:tcMar>
                <w:vAlign w:val="top"/>
              </w:tcPr>
              <w:p w:rsidR="00000000" w:rsidDel="00000000" w:rsidP="00000000" w:rsidRDefault="00000000" w:rsidRPr="00000000" w14:paraId="00000088">
                <w:pPr>
                  <w:widowControl w:val="0"/>
                  <w:spacing w:before="240"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Primeira Infância (crianças de 0 a 6 anos)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9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A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1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B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2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C">
                <w:pPr>
                  <w:widowControl w:val="0"/>
                  <w:spacing w:line="240" w:lineRule="auto"/>
                  <w:rPr>
                    <w:rFonts w:ascii="Calibri" w:cs="Calibri" w:eastAsia="Calibri" w:hAnsi="Calibri"/>
                    <w:b w:val="1"/>
                    <w:bCs w:val="1"/>
                    <w:sz w:val="24"/>
                    <w:szCs w:val="24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D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c)</w:t>
                </w:r>
              </w:p>
            </w:tc>
            <w:tc>
              <w:tcPr>
                <w:tcBorders>
                  <w:top w:color="000000" w:space="0" w:sz="5" w:val="single"/>
                  <w:left w:color="000000" w:space="0" w:sz="5" w:val="single"/>
                  <w:bottom w:color="000000" w:space="0" w:sz="5" w:val="single"/>
                  <w:right w:color="000000" w:space="0" w:sz="5" w:val="single"/>
                </w:tcBorders>
                <w:tcMar>
                  <w:top w:w="0.0" w:type="dxa"/>
                  <w:left w:w="0.0" w:type="dxa"/>
                  <w:bottom w:w="0.0" w:type="dxa"/>
                  <w:right w:w="0.0" w:type="dxa"/>
                </w:tcMar>
                <w:vAlign w:val="top"/>
              </w:tcPr>
              <w:p w:rsidR="00000000" w:rsidDel="00000000" w:rsidP="00000000" w:rsidRDefault="00000000" w:rsidRPr="00000000" w14:paraId="0000008E">
                <w:pPr>
                  <w:widowControl w:val="0"/>
                  <w:spacing w:after="240" w:before="240"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População de baixa renda, habitando áreas com precária oferta de serviços </w:t>
                  <w:tab/>
                  <w:tab/>
                  <w:tab/>
                  <w:t xml:space="preserve">públicos e de cultura, incluindo a área rural.</w:t>
                  <w:tab/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F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0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1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5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2">
                <w:pPr>
                  <w:widowControl w:val="0"/>
                  <w:spacing w:line="240" w:lineRule="auto"/>
                  <w:rPr>
                    <w:rFonts w:ascii="Calibri" w:cs="Calibri" w:eastAsia="Calibri" w:hAnsi="Calibri"/>
                    <w:b w:val="1"/>
                    <w:bCs w:val="1"/>
                    <w:sz w:val="24"/>
                    <w:szCs w:val="24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3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d)</w:t>
                </w:r>
              </w:p>
            </w:tc>
            <w:tc>
              <w:tcPr>
                <w:tcBorders>
                  <w:top w:color="000000" w:space="0" w:sz="5" w:val="single"/>
                  <w:left w:color="000000" w:space="0" w:sz="5" w:val="single"/>
                  <w:bottom w:color="000000" w:space="0" w:sz="5" w:val="single"/>
                  <w:right w:color="000000" w:space="0" w:sz="5" w:val="single"/>
                </w:tcBorders>
                <w:tcMar>
                  <w:top w:w="0.0" w:type="dxa"/>
                  <w:left w:w="0.0" w:type="dxa"/>
                  <w:bottom w:w="0.0" w:type="dxa"/>
                  <w:right w:w="0.0" w:type="dxa"/>
                </w:tcMar>
                <w:vAlign w:val="top"/>
              </w:tcPr>
              <w:p w:rsidR="00000000" w:rsidDel="00000000" w:rsidP="00000000" w:rsidRDefault="00000000" w:rsidRPr="00000000" w14:paraId="00000094">
                <w:pPr>
                  <w:widowControl w:val="0"/>
                  <w:spacing w:before="240"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Pessoas com deficiência e(ou) mobilidade reduzida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5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6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1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7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2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8">
                <w:pPr>
                  <w:widowControl w:val="0"/>
                  <w:spacing w:line="240" w:lineRule="auto"/>
                  <w:rPr>
                    <w:rFonts w:ascii="Calibri" w:cs="Calibri" w:eastAsia="Calibri" w:hAnsi="Calibri"/>
                    <w:b w:val="1"/>
                    <w:bCs w:val="1"/>
                    <w:sz w:val="24"/>
                    <w:szCs w:val="24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9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e)</w:t>
                </w:r>
              </w:p>
            </w:tc>
            <w:tc>
              <w:tcPr>
                <w:tcBorders>
                  <w:top w:color="000000" w:space="0" w:sz="5" w:val="single"/>
                  <w:left w:color="000000" w:space="0" w:sz="5" w:val="single"/>
                  <w:bottom w:color="000000" w:space="0" w:sz="5" w:val="single"/>
                  <w:right w:color="000000" w:space="0" w:sz="5" w:val="single"/>
                </w:tcBorders>
                <w:tcMar>
                  <w:top w:w="0.0" w:type="dxa"/>
                  <w:left w:w="0.0" w:type="dxa"/>
                  <w:bottom w:w="0.0" w:type="dxa"/>
                  <w:right w:w="0.0" w:type="dxa"/>
                </w:tcMar>
                <w:vAlign w:val="top"/>
              </w:tcPr>
              <w:p w:rsidR="00000000" w:rsidDel="00000000" w:rsidP="00000000" w:rsidRDefault="00000000" w:rsidRPr="00000000" w14:paraId="0000009A">
                <w:pPr>
                  <w:widowControl w:val="0"/>
                  <w:spacing w:before="240"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Povos Indígenas e Comunidades Tradicionais de Matriz Africana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B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C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1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D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2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E">
                <w:pPr>
                  <w:widowControl w:val="0"/>
                  <w:spacing w:line="240" w:lineRule="auto"/>
                  <w:rPr>
                    <w:rFonts w:ascii="Calibri" w:cs="Calibri" w:eastAsia="Calibri" w:hAnsi="Calibri"/>
                    <w:b w:val="1"/>
                    <w:bCs w:val="1"/>
                    <w:sz w:val="24"/>
                    <w:szCs w:val="24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F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f)</w:t>
                </w:r>
              </w:p>
            </w:tc>
            <w:tc>
              <w:tcPr>
                <w:tcBorders>
                  <w:top w:color="000000" w:space="0" w:sz="5" w:val="single"/>
                  <w:left w:color="000000" w:space="0" w:sz="5" w:val="single"/>
                  <w:bottom w:color="000000" w:space="0" w:sz="5" w:val="single"/>
                  <w:right w:color="000000" w:space="0" w:sz="5" w:val="single"/>
                </w:tcBorders>
                <w:tcMar>
                  <w:top w:w="0.0" w:type="dxa"/>
                  <w:left w:w="0.0" w:type="dxa"/>
                  <w:bottom w:w="0.0" w:type="dxa"/>
                  <w:right w:w="0.0" w:type="dxa"/>
                </w:tcMar>
                <w:vAlign w:val="top"/>
              </w:tcPr>
              <w:p w:rsidR="00000000" w:rsidDel="00000000" w:rsidP="00000000" w:rsidRDefault="00000000" w:rsidRPr="00000000" w14:paraId="000000A0">
                <w:pPr>
                  <w:widowControl w:val="0"/>
                  <w:spacing w:before="240"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Pessoas LGBTQIA+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A1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A2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1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A3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2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A4">
                <w:pPr>
                  <w:widowControl w:val="0"/>
                  <w:spacing w:line="240" w:lineRule="auto"/>
                  <w:rPr>
                    <w:rFonts w:ascii="Calibri" w:cs="Calibri" w:eastAsia="Calibri" w:hAnsi="Calibri"/>
                    <w:b w:val="1"/>
                    <w:bCs w:val="1"/>
                    <w:sz w:val="24"/>
                    <w:szCs w:val="24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gridSpan w:val="5"/>
                <w:shd w:fill="ffe59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A5">
                <w:pPr>
                  <w:widowControl w:val="0"/>
                  <w:spacing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PONTUAÇÃO MÁXIMA TOTAL</w:t>
                </w:r>
              </w:p>
            </w:tc>
            <w:tc>
              <w:tcPr>
                <w:shd w:fill="ffe59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AA">
                <w:pPr>
                  <w:widowControl w:val="0"/>
                  <w:spacing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100 PONTOS</w:t>
                </w:r>
              </w:p>
            </w:tc>
          </w:tr>
        </w:tbl>
      </w:sdtContent>
    </w:sdt>
    <w:p w:rsidR="00000000" w:rsidDel="00000000" w:rsidP="00000000" w:rsidRDefault="00000000" w:rsidRPr="00000000" w14:paraId="000000A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jc w:val="both"/>
        <w:rPr>
          <w:rFonts w:ascii="Calibri" w:cs="Calibri" w:eastAsia="Calibri" w:hAnsi="Calibri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240" w:line="240" w:lineRule="auto"/>
        <w:jc w:val="both"/>
        <w:rPr>
          <w:rFonts w:ascii="Source Sans 3" w:cs="Source Sans 3" w:eastAsia="Source Sans 3" w:hAnsi="Source Sans 3"/>
          <w:sz w:val="24"/>
          <w:szCs w:val="24"/>
          <w:u w:val="single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u w:val="single"/>
          <w:rtl w:val="0"/>
        </w:rPr>
        <w:t xml:space="preserve">Nota final de cada Avaliador(a):</w:t>
      </w:r>
    </w:p>
    <w:p w:rsidR="00000000" w:rsidDel="00000000" w:rsidP="00000000" w:rsidRDefault="00000000" w:rsidRPr="00000000" w14:paraId="000000A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240" w:line="240" w:lineRule="auto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A nota final de cada avaliador(a) será obtida a partir da soma do primeiro bloco de avaliação.</w:t>
      </w:r>
    </w:p>
    <w:p w:rsidR="00000000" w:rsidDel="00000000" w:rsidP="00000000" w:rsidRDefault="00000000" w:rsidRPr="00000000" w14:paraId="000000A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240" w:line="240" w:lineRule="auto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Pontuação Final por Avaliador = (Pontuação no Bloco 1) + Pontuação Bloco 2 (caso haja)</w:t>
      </w:r>
    </w:p>
    <w:p w:rsidR="00000000" w:rsidDel="00000000" w:rsidP="00000000" w:rsidRDefault="00000000" w:rsidRPr="00000000" w14:paraId="000000A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240" w:line="240" w:lineRule="auto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jc w:val="both"/>
        <w:rPr>
          <w:rFonts w:ascii="Calibri" w:cs="Calibri" w:eastAsia="Calibri" w:hAnsi="Calibri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Rule="auto"/>
        <w:jc w:val="left"/>
        <w:rPr>
          <w:rFonts w:ascii="Source Sans 3" w:cs="Source Sans 3" w:eastAsia="Source Sans 3" w:hAnsi="Source Sans 3"/>
          <w:b w:val="1"/>
          <w:bCs w:val="1"/>
          <w:sz w:val="40"/>
          <w:szCs w:val="40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Source Sans 3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3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7">
    <w:pPr>
      <w:tabs>
        <w:tab w:val="center" w:leader="none" w:pos="0"/>
      </w:tabs>
      <w:spacing w:line="240" w:lineRule="auto"/>
      <w:ind w:left="1440" w:firstLine="0"/>
      <w:jc w:val="both"/>
      <w:rPr>
        <w:rFonts w:ascii="Calibri" w:cs="Calibri" w:eastAsia="Calibri" w:hAnsi="Calibri"/>
        <w:i w:val="1"/>
        <w:iCs w:val="1"/>
        <w:color w:val="ff0000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4114800</wp:posOffset>
          </wp:positionH>
          <wp:positionV relativeFrom="paragraph">
            <wp:posOffset>33150</wp:posOffset>
          </wp:positionV>
          <wp:extent cx="882015" cy="739140"/>
          <wp:effectExtent b="0" l="0" r="0" t="0"/>
          <wp:wrapNone/>
          <wp:docPr descr="Fundo preto com letras brancas&#10;&#10;O conteúdo gerado por IA pode estar incorreto." id="35" name="image1.png"/>
          <a:graphic>
            <a:graphicData uri="http://schemas.openxmlformats.org/drawingml/2006/picture">
              <pic:pic>
                <pic:nvPicPr>
                  <pic:cNvPr descr="Fundo preto com letras brancas&#10;&#10;O conteúdo gerado por IA pode estar incorreto." id="0" name="image1.png"/>
                  <pic:cNvPicPr preferRelativeResize="0"/>
                </pic:nvPicPr>
                <pic:blipFill>
                  <a:blip r:embed="rId1"/>
                  <a:srcRect b="0" l="64784" r="20737" t="91487"/>
                  <a:stretch>
                    <a:fillRect/>
                  </a:stretch>
                </pic:blipFill>
                <pic:spPr>
                  <a:xfrm>
                    <a:off x="0" y="0"/>
                    <a:ext cx="882015" cy="7391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514350</wp:posOffset>
          </wp:positionH>
          <wp:positionV relativeFrom="paragraph">
            <wp:posOffset>152210</wp:posOffset>
          </wp:positionV>
          <wp:extent cx="2133600" cy="504825"/>
          <wp:effectExtent b="0" l="0" r="0" t="0"/>
          <wp:wrapSquare wrapText="bothSides" distB="114300" distT="114300" distL="114300" distR="114300"/>
          <wp:docPr id="34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33600" cy="5048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-838194</wp:posOffset>
          </wp:positionH>
          <wp:positionV relativeFrom="paragraph">
            <wp:posOffset>85538</wp:posOffset>
          </wp:positionV>
          <wp:extent cx="1201567" cy="624078"/>
          <wp:effectExtent b="0" l="0" r="0" t="0"/>
          <wp:wrapNone/>
          <wp:docPr descr="Logotipo&#10;&#10;O conteúdo gerado por IA pode estar incorreto." id="32" name="image5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5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01567" cy="62407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5334000</wp:posOffset>
          </wp:positionH>
          <wp:positionV relativeFrom="paragraph">
            <wp:posOffset>61725</wp:posOffset>
          </wp:positionV>
          <wp:extent cx="1153265" cy="681903"/>
          <wp:effectExtent b="0" l="0" r="0" t="0"/>
          <wp:wrapNone/>
          <wp:docPr descr="Logotipo&#10;&#10;O conteúdo gerado por IA pode estar incorreto." id="37" name="image4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4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53265" cy="68190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B8">
    <w:pPr>
      <w:rPr/>
    </w:pPr>
    <w:r w:rsidDel="00000000" w:rsidR="00000000" w:rsidRPr="00000000">
      <w:rPr>
        <w:rtl w:val="0"/>
      </w:rPr>
      <w:t xml:space="preserve">                                                                                                                                      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3190875</wp:posOffset>
          </wp:positionH>
          <wp:positionV relativeFrom="paragraph">
            <wp:posOffset>4575</wp:posOffset>
          </wp:positionV>
          <wp:extent cx="723066" cy="509001"/>
          <wp:effectExtent b="0" l="0" r="0" t="0"/>
          <wp:wrapNone/>
          <wp:docPr descr="Logotipo&#10;&#10;O conteúdo gerado por IA pode estar incorreto." id="36" name="image2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2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B9">
    <w:pPr>
      <w:ind w:hanging="992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5">
    <w:pPr>
      <w:ind w:left="-1133" w:firstLine="0"/>
      <w:jc w:val="both"/>
      <w:rPr/>
    </w:pPr>
    <w:r w:rsidDel="00000000" w:rsidR="00000000" w:rsidRPr="00000000">
      <w:rPr/>
      <w:drawing>
        <wp:inline distB="0" distT="0" distL="0" distR="0">
          <wp:extent cx="1004888" cy="978268"/>
          <wp:effectExtent b="0" l="0" r="0" t="0"/>
          <wp:docPr id="38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-8835" l="0" r="0" t="-25608"/>
                  <a:stretch>
                    <a:fillRect/>
                  </a:stretch>
                </pic:blipFill>
                <pic:spPr>
                  <a:xfrm>
                    <a:off x="0" y="0"/>
                    <a:ext cx="1004888" cy="97826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-923920</wp:posOffset>
          </wp:positionH>
          <wp:positionV relativeFrom="paragraph">
            <wp:posOffset>-342896</wp:posOffset>
          </wp:positionV>
          <wp:extent cx="7855077" cy="504825"/>
          <wp:effectExtent b="0" l="0" r="0" t="0"/>
          <wp:wrapNone/>
          <wp:docPr id="33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 b="19316" l="0" r="0" t="20481"/>
                  <a:stretch>
                    <a:fillRect/>
                  </a:stretch>
                </pic:blipFill>
                <pic:spPr>
                  <a:xfrm>
                    <a:off x="0" y="0"/>
                    <a:ext cx="7855077" cy="5048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B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SemiBold-regular.ttf"/><Relationship Id="rId2" Type="http://schemas.openxmlformats.org/officeDocument/2006/relationships/font" Target="fonts/SourceSans3SemiBold-bold.ttf"/><Relationship Id="rId3" Type="http://schemas.openxmlformats.org/officeDocument/2006/relationships/font" Target="fonts/SourceSans3SemiBold-italic.ttf"/><Relationship Id="rId4" Type="http://schemas.openxmlformats.org/officeDocument/2006/relationships/font" Target="fonts/SourceSans3SemiBold-boldItalic.ttf"/><Relationship Id="rId11" Type="http://schemas.openxmlformats.org/officeDocument/2006/relationships/font" Target="fonts/SourceSans3Light-italic.ttf"/><Relationship Id="rId10" Type="http://schemas.openxmlformats.org/officeDocument/2006/relationships/font" Target="fonts/SourceSans3Light-bold.ttf"/><Relationship Id="rId12" Type="http://schemas.openxmlformats.org/officeDocument/2006/relationships/font" Target="fonts/SourceSans3Light-boldItalic.ttf"/><Relationship Id="rId9" Type="http://schemas.openxmlformats.org/officeDocument/2006/relationships/font" Target="fonts/SourceSans3Light-regular.ttf"/><Relationship Id="rId5" Type="http://schemas.openxmlformats.org/officeDocument/2006/relationships/font" Target="fonts/SourceSans3-regular.ttf"/><Relationship Id="rId6" Type="http://schemas.openxmlformats.org/officeDocument/2006/relationships/font" Target="fonts/SourceSans3-bold.ttf"/><Relationship Id="rId7" Type="http://schemas.openxmlformats.org/officeDocument/2006/relationships/font" Target="fonts/SourceSans3-italic.ttf"/><Relationship Id="rId8" Type="http://schemas.openxmlformats.org/officeDocument/2006/relationships/font" Target="fonts/SourceSans3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6.png"/><Relationship Id="rId3" Type="http://schemas.openxmlformats.org/officeDocument/2006/relationships/image" Target="media/image5.png"/><Relationship Id="rId4" Type="http://schemas.openxmlformats.org/officeDocument/2006/relationships/image" Target="media/image4.png"/><Relationship Id="rId5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AvVizUeqwPHr8jNEr7F0bHuSFQ==">CgMxLjAaHwoBMBIaChgICVIUChJ0YWJsZS52enJpdmt5dml3ZGk4AHIhMWdBdF9DR1cxY1Q5VGk2NFZreUpaS2Zlc3JhbnVUUXNk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2025-11-12T17:15:00Z</dcterms:created>
</cp:coreProperties>
</file>